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95" w:type="dxa"/>
        <w:jc w:val="center"/>
        <w:tblCellMar>
          <w:left w:w="0" w:type="dxa"/>
          <w:right w:w="0" w:type="dxa"/>
        </w:tblCellMar>
        <w:tblLook w:val="04A0" w:firstRow="1" w:lastRow="0" w:firstColumn="1" w:lastColumn="0" w:noHBand="0" w:noVBand="1"/>
      </w:tblPr>
      <w:tblGrid>
        <w:gridCol w:w="10096"/>
      </w:tblGrid>
      <w:tr w:rsidR="007B7135" w:rsidTr="007B7135">
        <w:trPr>
          <w:jc w:val="center"/>
        </w:trPr>
        <w:tc>
          <w:tcPr>
            <w:tcW w:w="9795" w:type="dxa"/>
            <w:tcBorders>
              <w:top w:val="single" w:sz="18" w:space="0" w:color="FAAA28"/>
              <w:left w:val="single" w:sz="18" w:space="0" w:color="FAAA28"/>
              <w:bottom w:val="nil"/>
              <w:right w:val="single" w:sz="18" w:space="0" w:color="FAAA28"/>
            </w:tcBorders>
            <w:hideMark/>
          </w:tcPr>
          <w:tbl>
            <w:tblPr>
              <w:tblW w:w="9795" w:type="dxa"/>
              <w:jc w:val="center"/>
              <w:tblCellMar>
                <w:left w:w="0" w:type="dxa"/>
                <w:right w:w="0" w:type="dxa"/>
              </w:tblCellMar>
              <w:tblLook w:val="04A0" w:firstRow="1" w:lastRow="0" w:firstColumn="1" w:lastColumn="0" w:noHBand="0" w:noVBand="1"/>
            </w:tblPr>
            <w:tblGrid>
              <w:gridCol w:w="10005"/>
            </w:tblGrid>
            <w:tr w:rsidR="007B7135">
              <w:trPr>
                <w:jc w:val="center"/>
              </w:trPr>
              <w:tc>
                <w:tcPr>
                  <w:tcW w:w="9795" w:type="dxa"/>
                  <w:tcBorders>
                    <w:top w:val="single" w:sz="18" w:space="0" w:color="FAAA28"/>
                    <w:left w:val="single" w:sz="18" w:space="0" w:color="FAAA28"/>
                    <w:bottom w:val="nil"/>
                    <w:right w:val="single" w:sz="18" w:space="0" w:color="FAAA28"/>
                  </w:tcBorders>
                  <w:hideMark/>
                </w:tcPr>
                <w:p w:rsidR="007B7135" w:rsidRDefault="007B7135">
                  <w:pPr>
                    <w:jc w:val="center"/>
                    <w:rPr>
                      <w:sz w:val="20"/>
                      <w:szCs w:val="20"/>
                    </w:rPr>
                  </w:pPr>
                  <w:r>
                    <w:rPr>
                      <w:noProof/>
                      <w:sz w:val="20"/>
                      <w:szCs w:val="20"/>
                    </w:rPr>
                    <w:drawing>
                      <wp:inline distT="0" distB="0" distL="0" distR="0">
                        <wp:extent cx="6315075" cy="1914525"/>
                        <wp:effectExtent l="0" t="0" r="9525" b="9525"/>
                        <wp:docPr id="2" name="Picture 2" descr="cid:image001.jpg@01D35340.EFBC6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35340.EFBC6530"/>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6315075" cy="1914525"/>
                                </a:xfrm>
                                <a:prstGeom prst="rect">
                                  <a:avLst/>
                                </a:prstGeom>
                                <a:noFill/>
                                <a:ln>
                                  <a:noFill/>
                                </a:ln>
                              </pic:spPr>
                            </pic:pic>
                          </a:graphicData>
                        </a:graphic>
                      </wp:inline>
                    </w:drawing>
                  </w:r>
                </w:p>
              </w:tc>
            </w:tr>
            <w:tr w:rsidR="007B7135">
              <w:trPr>
                <w:trHeight w:val="15"/>
                <w:jc w:val="center"/>
              </w:trPr>
              <w:tc>
                <w:tcPr>
                  <w:tcW w:w="9795" w:type="dxa"/>
                  <w:tcBorders>
                    <w:top w:val="nil"/>
                    <w:left w:val="single" w:sz="18" w:space="0" w:color="FAAA28"/>
                    <w:bottom w:val="nil"/>
                    <w:right w:val="single" w:sz="18" w:space="0" w:color="FAAA28"/>
                  </w:tcBorders>
                  <w:tcMar>
                    <w:top w:w="170" w:type="dxa"/>
                    <w:left w:w="170" w:type="dxa"/>
                    <w:bottom w:w="170" w:type="dxa"/>
                    <w:right w:w="170" w:type="dxa"/>
                  </w:tcMar>
                  <w:hideMark/>
                </w:tcPr>
                <w:tbl>
                  <w:tblPr>
                    <w:tblW w:w="0" w:type="auto"/>
                    <w:jc w:val="center"/>
                    <w:shd w:val="clear" w:color="auto" w:fill="FFFFFF"/>
                    <w:tblCellMar>
                      <w:left w:w="0" w:type="dxa"/>
                      <w:right w:w="0" w:type="dxa"/>
                    </w:tblCellMar>
                    <w:tblLook w:val="04A0" w:firstRow="1" w:lastRow="0" w:firstColumn="1" w:lastColumn="0" w:noHBand="0" w:noVBand="1"/>
                  </w:tblPr>
                  <w:tblGrid>
                    <w:gridCol w:w="9020"/>
                  </w:tblGrid>
                  <w:tr w:rsidR="007B7135">
                    <w:trPr>
                      <w:trHeight w:val="80"/>
                      <w:jc w:val="center"/>
                    </w:trPr>
                    <w:tc>
                      <w:tcPr>
                        <w:tcW w:w="9020" w:type="dxa"/>
                        <w:shd w:val="clear" w:color="auto" w:fill="FFFFFF"/>
                        <w:tcMar>
                          <w:top w:w="284" w:type="dxa"/>
                          <w:left w:w="284" w:type="dxa"/>
                          <w:bottom w:w="284" w:type="dxa"/>
                          <w:right w:w="284" w:type="dxa"/>
                        </w:tcMar>
                      </w:tcPr>
                      <w:p w:rsidR="007B7135" w:rsidRDefault="007B7135">
                        <w:pPr>
                          <w:rPr>
                            <w:b/>
                            <w:bCs/>
                            <w:color w:val="C00000"/>
                            <w:sz w:val="20"/>
                            <w:szCs w:val="20"/>
                          </w:rPr>
                        </w:pPr>
                        <w:r>
                          <w:rPr>
                            <w:b/>
                            <w:bCs/>
                            <w:color w:val="C00000"/>
                            <w:sz w:val="20"/>
                            <w:szCs w:val="20"/>
                          </w:rPr>
                          <w:t>UK Power Networks is working with the other Electricity Distribution Networks and our trade body, Energy Networks Association, on a new national campaign called Be Winter Ready.</w:t>
                        </w:r>
                      </w:p>
                      <w:p w:rsidR="007B7135" w:rsidRDefault="007B7135">
                        <w:pPr>
                          <w:rPr>
                            <w:color w:val="505050"/>
                            <w:sz w:val="20"/>
                            <w:szCs w:val="20"/>
                          </w:rPr>
                        </w:pPr>
                      </w:p>
                      <w:p w:rsidR="007B7135" w:rsidRDefault="007B7135">
                        <w:pPr>
                          <w:jc w:val="left"/>
                          <w:rPr>
                            <w:color w:val="505050"/>
                            <w:sz w:val="20"/>
                            <w:szCs w:val="20"/>
                          </w:rPr>
                        </w:pPr>
                        <w:r>
                          <w:rPr>
                            <w:color w:val="505050"/>
                            <w:sz w:val="20"/>
                            <w:szCs w:val="20"/>
                          </w:rPr>
                          <w:t>Be Winter Ready aims to encourage people to prepare in case they experience a power cut or gas emergency this winter. </w:t>
                        </w:r>
                        <w:r>
                          <w:rPr>
                            <w:color w:val="505050"/>
                            <w:sz w:val="20"/>
                            <w:szCs w:val="20"/>
                          </w:rPr>
                          <w:br/>
                        </w:r>
                        <w:r>
                          <w:rPr>
                            <w:color w:val="505050"/>
                            <w:sz w:val="20"/>
                            <w:szCs w:val="20"/>
                          </w:rPr>
                          <w:br/>
                          <w:t xml:space="preserve">We’re contacting </w:t>
                        </w:r>
                        <w:proofErr w:type="gramStart"/>
                        <w:r>
                          <w:rPr>
                            <w:color w:val="505050"/>
                            <w:sz w:val="20"/>
                            <w:szCs w:val="20"/>
                          </w:rPr>
                          <w:t>all of</w:t>
                        </w:r>
                        <w:proofErr w:type="gramEnd"/>
                        <w:r>
                          <w:rPr>
                            <w:color w:val="505050"/>
                            <w:sz w:val="20"/>
                            <w:szCs w:val="20"/>
                          </w:rPr>
                          <w:t xml:space="preserve"> our stakeholders to make you aware of the campaign and to ask if you could help share this important information. </w:t>
                        </w:r>
                      </w:p>
                      <w:p w:rsidR="007B7135" w:rsidRDefault="007B7135">
                        <w:pPr>
                          <w:pStyle w:val="Heading4"/>
                          <w:spacing w:before="240"/>
                          <w:rPr>
                            <w:rFonts w:eastAsia="Times New Roman"/>
                            <w:sz w:val="28"/>
                            <w:szCs w:val="28"/>
                          </w:rPr>
                        </w:pPr>
                        <w:r>
                          <w:rPr>
                            <w:rFonts w:eastAsia="Times New Roman"/>
                            <w:sz w:val="28"/>
                            <w:szCs w:val="28"/>
                          </w:rPr>
                          <w:t>Background</w:t>
                        </w:r>
                      </w:p>
                      <w:p w:rsidR="007B7135" w:rsidRDefault="007B7135">
                        <w:pPr>
                          <w:spacing w:line="276" w:lineRule="auto"/>
                          <w:jc w:val="left"/>
                          <w:rPr>
                            <w:color w:val="505050"/>
                            <w:sz w:val="20"/>
                            <w:szCs w:val="20"/>
                          </w:rPr>
                        </w:pPr>
                        <w:r>
                          <w:rPr>
                            <w:color w:val="505050"/>
                            <w:sz w:val="20"/>
                            <w:szCs w:val="20"/>
                          </w:rPr>
                          <w:t>In recent years the chances of unscheduled problems with electricity and gas supply have dropped dramatically. Since 1990, network companies have invested £</w:t>
                        </w:r>
                        <w:proofErr w:type="spellStart"/>
                        <w:r>
                          <w:rPr>
                            <w:color w:val="505050"/>
                            <w:sz w:val="20"/>
                            <w:szCs w:val="20"/>
                          </w:rPr>
                          <w:t>80bn</w:t>
                        </w:r>
                        <w:proofErr w:type="spellEnd"/>
                        <w:r>
                          <w:rPr>
                            <w:color w:val="505050"/>
                            <w:sz w:val="20"/>
                            <w:szCs w:val="20"/>
                          </w:rPr>
                          <w:t xml:space="preserve"> in improving the reliability of local energy networks in the UK. As a result, on average, electricity customers have a power cut just once every two years and gas distribution customers will have their gas supply interrupted without advance notice just once every 40 years.</w:t>
                        </w:r>
                        <w:r>
                          <w:rPr>
                            <w:color w:val="505050"/>
                            <w:sz w:val="20"/>
                            <w:szCs w:val="20"/>
                          </w:rPr>
                          <w:br/>
                          <w:t> </w:t>
                        </w:r>
                        <w:r>
                          <w:rPr>
                            <w:color w:val="505050"/>
                            <w:sz w:val="20"/>
                            <w:szCs w:val="20"/>
                          </w:rPr>
                          <w:br/>
                          <w:t xml:space="preserve">Whilst the UK’s gas and electricity supply </w:t>
                        </w:r>
                        <w:proofErr w:type="gramStart"/>
                        <w:r>
                          <w:rPr>
                            <w:color w:val="505050"/>
                            <w:sz w:val="20"/>
                            <w:szCs w:val="20"/>
                          </w:rPr>
                          <w:t>is</w:t>
                        </w:r>
                        <w:proofErr w:type="gramEnd"/>
                        <w:r>
                          <w:rPr>
                            <w:color w:val="505050"/>
                            <w:sz w:val="20"/>
                            <w:szCs w:val="20"/>
                          </w:rPr>
                          <w:t xml:space="preserve"> very reliable, bad winter weather can cause damage and disruption. </w:t>
                        </w:r>
                      </w:p>
                      <w:p w:rsidR="007B7135" w:rsidRDefault="007B7135">
                        <w:pPr>
                          <w:pStyle w:val="Heading4"/>
                          <w:spacing w:after="0"/>
                          <w:rPr>
                            <w:rFonts w:eastAsia="Times New Roman"/>
                          </w:rPr>
                        </w:pPr>
                      </w:p>
                      <w:p w:rsidR="007B7135" w:rsidRDefault="007B7135">
                        <w:pPr>
                          <w:pStyle w:val="Heading4"/>
                          <w:rPr>
                            <w:rFonts w:eastAsia="Times New Roman"/>
                            <w:sz w:val="28"/>
                            <w:szCs w:val="28"/>
                          </w:rPr>
                        </w:pPr>
                        <w:r>
                          <w:rPr>
                            <w:rFonts w:eastAsia="Times New Roman"/>
                            <w:sz w:val="28"/>
                            <w:szCs w:val="28"/>
                          </w:rPr>
                          <w:t>Steps you can take to ‘Be Winter Ready’:</w:t>
                        </w:r>
                      </w:p>
                      <w:p w:rsidR="007B7135" w:rsidRDefault="007B7135" w:rsidP="00196435">
                        <w:pPr>
                          <w:numPr>
                            <w:ilvl w:val="0"/>
                            <w:numId w:val="1"/>
                          </w:numPr>
                          <w:spacing w:before="100" w:beforeAutospacing="1" w:after="100" w:afterAutospacing="1"/>
                          <w:jc w:val="left"/>
                          <w:rPr>
                            <w:rFonts w:eastAsia="Times New Roman"/>
                            <w:color w:val="505050"/>
                            <w:sz w:val="20"/>
                            <w:szCs w:val="20"/>
                          </w:rPr>
                        </w:pPr>
                        <w:r>
                          <w:rPr>
                            <w:rStyle w:val="Strong"/>
                            <w:rFonts w:eastAsia="Times New Roman"/>
                            <w:color w:val="505050"/>
                            <w:sz w:val="20"/>
                            <w:szCs w:val="20"/>
                          </w:rPr>
                          <w:t>Know your free emergency numbers:</w:t>
                        </w:r>
                        <w:r>
                          <w:rPr>
                            <w:rFonts w:eastAsia="Times New Roman"/>
                            <w:color w:val="505050"/>
                            <w:sz w:val="20"/>
                            <w:szCs w:val="20"/>
                          </w:rPr>
                          <w:t xml:space="preserve"> In a power cut dial 105 or, for a gas emergency, dial 0800 111999.</w:t>
                        </w:r>
                      </w:p>
                      <w:p w:rsidR="007B7135" w:rsidRDefault="007B7135" w:rsidP="00196435">
                        <w:pPr>
                          <w:numPr>
                            <w:ilvl w:val="0"/>
                            <w:numId w:val="1"/>
                          </w:numPr>
                          <w:spacing w:before="100" w:beforeAutospacing="1" w:after="100" w:afterAutospacing="1"/>
                          <w:jc w:val="left"/>
                          <w:rPr>
                            <w:rFonts w:eastAsia="Times New Roman"/>
                            <w:color w:val="505050"/>
                            <w:sz w:val="20"/>
                            <w:szCs w:val="20"/>
                          </w:rPr>
                        </w:pPr>
                        <w:r>
                          <w:rPr>
                            <w:rStyle w:val="Strong"/>
                            <w:rFonts w:eastAsia="Times New Roman"/>
                            <w:color w:val="505050"/>
                            <w:sz w:val="20"/>
                            <w:szCs w:val="20"/>
                          </w:rPr>
                          <w:t>Prepare your home:</w:t>
                        </w:r>
                        <w:r>
                          <w:rPr>
                            <w:rFonts w:eastAsia="Times New Roman"/>
                            <w:color w:val="505050"/>
                            <w:sz w:val="20"/>
                            <w:szCs w:val="20"/>
                          </w:rPr>
                          <w:t> Keep a torch handy and get your appliances serviced by a Gas Safe registered engineer to prevent carbon monoxide poisoning. </w:t>
                        </w:r>
                      </w:p>
                      <w:p w:rsidR="007B7135" w:rsidRDefault="007B7135" w:rsidP="00196435">
                        <w:pPr>
                          <w:numPr>
                            <w:ilvl w:val="0"/>
                            <w:numId w:val="1"/>
                          </w:numPr>
                          <w:spacing w:before="100" w:beforeAutospacing="1" w:after="100" w:afterAutospacing="1"/>
                          <w:jc w:val="left"/>
                          <w:rPr>
                            <w:rFonts w:eastAsia="Times New Roman"/>
                            <w:color w:val="505050"/>
                            <w:sz w:val="20"/>
                            <w:szCs w:val="20"/>
                          </w:rPr>
                        </w:pPr>
                        <w:r>
                          <w:rPr>
                            <w:rStyle w:val="Strong"/>
                            <w:rFonts w:eastAsia="Times New Roman"/>
                            <w:color w:val="505050"/>
                            <w:sz w:val="20"/>
                            <w:szCs w:val="20"/>
                          </w:rPr>
                          <w:t>Register as a vulnerable customer:</w:t>
                        </w:r>
                        <w:r>
                          <w:rPr>
                            <w:rFonts w:eastAsia="Times New Roman"/>
                            <w:color w:val="505050"/>
                            <w:sz w:val="20"/>
                            <w:szCs w:val="20"/>
                          </w:rPr>
                          <w:t xml:space="preserve"> Vulnerable households can get extra support by signing up to the Priority Services Register. </w:t>
                        </w:r>
                        <w:hyperlink r:id="rId7" w:history="1">
                          <w:r>
                            <w:rPr>
                              <w:rStyle w:val="Hyperlink"/>
                              <w:rFonts w:eastAsia="Times New Roman"/>
                              <w:sz w:val="20"/>
                              <w:szCs w:val="20"/>
                            </w:rPr>
                            <w:t>Click here</w:t>
                          </w:r>
                        </w:hyperlink>
                        <w:r>
                          <w:rPr>
                            <w:rFonts w:eastAsia="Times New Roman"/>
                            <w:color w:val="505050"/>
                            <w:sz w:val="20"/>
                            <w:szCs w:val="20"/>
                          </w:rPr>
                          <w:t xml:space="preserve"> to find out more about the Priority Services Register in London, the South and East of England or to sign up.</w:t>
                        </w:r>
                      </w:p>
                      <w:p w:rsidR="007B7135" w:rsidRDefault="007B7135" w:rsidP="00196435">
                        <w:pPr>
                          <w:numPr>
                            <w:ilvl w:val="0"/>
                            <w:numId w:val="1"/>
                          </w:numPr>
                          <w:spacing w:before="100" w:beforeAutospacing="1" w:after="100" w:afterAutospacing="1"/>
                          <w:jc w:val="left"/>
                          <w:rPr>
                            <w:rFonts w:eastAsia="Times New Roman"/>
                            <w:color w:val="505050"/>
                            <w:sz w:val="20"/>
                            <w:szCs w:val="20"/>
                          </w:rPr>
                        </w:pPr>
                        <w:r>
                          <w:rPr>
                            <w:rStyle w:val="Strong"/>
                            <w:rFonts w:eastAsia="Times New Roman"/>
                            <w:color w:val="505050"/>
                            <w:sz w:val="20"/>
                            <w:szCs w:val="20"/>
                          </w:rPr>
                          <w:t>Keep your eyes open:</w:t>
                        </w:r>
                        <w:r>
                          <w:rPr>
                            <w:rFonts w:eastAsia="Times New Roman"/>
                            <w:color w:val="505050"/>
                            <w:sz w:val="20"/>
                            <w:szCs w:val="20"/>
                          </w:rPr>
                          <w:t> Keep an eye on the weather forecast and, if you have a power cut or a gas emergency, check on your neighbours.</w:t>
                        </w:r>
                      </w:p>
                      <w:p w:rsidR="007B7135" w:rsidRDefault="007B7135">
                        <w:pPr>
                          <w:pStyle w:val="Heading4"/>
                          <w:rPr>
                            <w:rFonts w:eastAsia="Times New Roman"/>
                          </w:rPr>
                        </w:pPr>
                        <w:r>
                          <w:rPr>
                            <w:rFonts w:eastAsia="Times New Roman"/>
                          </w:rPr>
                          <w:t>Tools to help you spread the word</w:t>
                        </w:r>
                      </w:p>
                      <w:p w:rsidR="007B7135" w:rsidRDefault="007B7135">
                        <w:pPr>
                          <w:jc w:val="left"/>
                          <w:rPr>
                            <w:color w:val="505050"/>
                            <w:sz w:val="21"/>
                            <w:szCs w:val="21"/>
                          </w:rPr>
                        </w:pPr>
                        <w:r>
                          <w:rPr>
                            <w:color w:val="505050"/>
                            <w:sz w:val="20"/>
                            <w:szCs w:val="20"/>
                          </w:rPr>
                          <w:t xml:space="preserve">We have created a great toolkit of assets to communicate this information, including social media posts, a poster and leaflet. The toolkit can be found </w:t>
                        </w:r>
                        <w:hyperlink r:id="rId8" w:tgtFrame="_blank" w:history="1">
                          <w:r>
                            <w:rPr>
                              <w:rStyle w:val="Hyperlink"/>
                              <w:color w:val="336699"/>
                              <w:sz w:val="20"/>
                              <w:szCs w:val="20"/>
                            </w:rPr>
                            <w:t>here</w:t>
                          </w:r>
                        </w:hyperlink>
                        <w:r>
                          <w:rPr>
                            <w:color w:val="505050"/>
                            <w:sz w:val="20"/>
                            <w:szCs w:val="20"/>
                          </w:rPr>
                          <w:t>. Please share the posts on Facebook and Twitter, on a website, share in a newsletter or print flyers and posters. We’d really appreciate it if you can help us to reach people with this advice.</w:t>
                        </w:r>
                        <w:r>
                          <w:rPr>
                            <w:color w:val="505050"/>
                            <w:sz w:val="20"/>
                            <w:szCs w:val="20"/>
                          </w:rPr>
                          <w:br/>
                        </w:r>
                        <w:r>
                          <w:rPr>
                            <w:color w:val="505050"/>
                            <w:sz w:val="20"/>
                            <w:szCs w:val="20"/>
                          </w:rPr>
                          <w:lastRenderedPageBreak/>
                          <w:t> </w:t>
                        </w:r>
                        <w:r>
                          <w:rPr>
                            <w:color w:val="505050"/>
                            <w:sz w:val="20"/>
                            <w:szCs w:val="20"/>
                          </w:rPr>
                          <w:br/>
                          <w:t>We are also asking people to sign up to a Thunderclap for 2nd November. It would be great if you can sign up to the Thunderclap to help us reach as many people as possible through social media. Click here and follow the few simple steps </w:t>
                        </w:r>
                        <w:hyperlink r:id="rId9" w:tgtFrame="_blank" w:history="1">
                          <w:r>
                            <w:rPr>
                              <w:rStyle w:val="Hyperlink"/>
                              <w:color w:val="336699"/>
                              <w:sz w:val="20"/>
                              <w:szCs w:val="20"/>
                            </w:rPr>
                            <w:t>https://www.thunderclap.it/projects/63952-be-winter-ready</w:t>
                          </w:r>
                        </w:hyperlink>
                        <w:r>
                          <w:rPr>
                            <w:color w:val="505050"/>
                            <w:sz w:val="20"/>
                            <w:szCs w:val="20"/>
                          </w:rPr>
                          <w:t> . </w:t>
                        </w:r>
                        <w:r>
                          <w:rPr>
                            <w:color w:val="505050"/>
                            <w:sz w:val="20"/>
                            <w:szCs w:val="20"/>
                          </w:rPr>
                          <w:br/>
                          <w:t> </w:t>
                        </w:r>
                        <w:r>
                          <w:rPr>
                            <w:color w:val="505050"/>
                            <w:sz w:val="20"/>
                            <w:szCs w:val="20"/>
                          </w:rPr>
                          <w:br/>
                          <w:t>Thank you in advance for any support you can provide.</w:t>
                        </w:r>
                      </w:p>
                      <w:p w:rsidR="007B7135" w:rsidRDefault="007B7135"/>
                      <w:p w:rsidR="007B7135" w:rsidRDefault="007B7135">
                        <w:pPr>
                          <w:jc w:val="center"/>
                        </w:pPr>
                      </w:p>
                    </w:tc>
                  </w:tr>
                </w:tbl>
                <w:p w:rsidR="007B7135" w:rsidRDefault="007B7135">
                  <w:pPr>
                    <w:jc w:val="center"/>
                    <w:rPr>
                      <w:rFonts w:ascii="Times New Roman" w:eastAsia="Times New Roman" w:hAnsi="Times New Roman" w:cs="Times New Roman"/>
                      <w:color w:val="auto"/>
                      <w:sz w:val="20"/>
                      <w:szCs w:val="20"/>
                    </w:rPr>
                  </w:pPr>
                </w:p>
              </w:tc>
            </w:tr>
            <w:tr w:rsidR="007B7135">
              <w:trPr>
                <w:jc w:val="center"/>
              </w:trPr>
              <w:tc>
                <w:tcPr>
                  <w:tcW w:w="9795" w:type="dxa"/>
                  <w:tcBorders>
                    <w:top w:val="nil"/>
                    <w:left w:val="single" w:sz="18" w:space="0" w:color="FAAA28"/>
                    <w:bottom w:val="single" w:sz="18" w:space="0" w:color="FAAA28"/>
                    <w:right w:val="single" w:sz="18" w:space="0" w:color="FAAA28"/>
                  </w:tcBorders>
                  <w:hideMark/>
                </w:tcPr>
                <w:p w:rsidR="007B7135" w:rsidRDefault="007B7135">
                  <w:pPr>
                    <w:rPr>
                      <w:sz w:val="20"/>
                      <w:szCs w:val="20"/>
                    </w:rPr>
                  </w:pPr>
                  <w:r>
                    <w:rPr>
                      <w:noProof/>
                    </w:rPr>
                    <w:lastRenderedPageBreak/>
                    <w:drawing>
                      <wp:inline distT="0" distB="0" distL="0" distR="0">
                        <wp:extent cx="6191250" cy="1428750"/>
                        <wp:effectExtent l="0" t="0" r="0" b="0"/>
                        <wp:docPr id="1" name="Picture 1" descr="cid:image002.jpg@01D35340.EFBC6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jpg@01D35340.EFBC653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6191250" cy="1428750"/>
                                </a:xfrm>
                                <a:prstGeom prst="rect">
                                  <a:avLst/>
                                </a:prstGeom>
                                <a:noFill/>
                                <a:ln>
                                  <a:noFill/>
                                </a:ln>
                              </pic:spPr>
                            </pic:pic>
                          </a:graphicData>
                        </a:graphic>
                      </wp:inline>
                    </w:drawing>
                  </w:r>
                </w:p>
              </w:tc>
            </w:tr>
          </w:tbl>
          <w:p w:rsidR="007B7135" w:rsidRDefault="007B7135">
            <w:pPr>
              <w:jc w:val="center"/>
              <w:rPr>
                <w:rFonts w:ascii="Times New Roman" w:eastAsia="Times New Roman" w:hAnsi="Times New Roman" w:cs="Times New Roman"/>
                <w:color w:val="auto"/>
                <w:sz w:val="20"/>
                <w:szCs w:val="20"/>
              </w:rPr>
            </w:pPr>
          </w:p>
        </w:tc>
      </w:tr>
    </w:tbl>
    <w:p w:rsidR="00D81D95" w:rsidRDefault="00D81D95">
      <w:bookmarkStart w:id="0" w:name="_GoBack"/>
      <w:bookmarkEnd w:id="0"/>
    </w:p>
    <w:sectPr w:rsidR="00D81D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955065A"/>
    <w:multiLevelType w:val="multilevel"/>
    <w:tmpl w:val="C2E673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135"/>
    <w:rsid w:val="0044164B"/>
    <w:rsid w:val="00634C02"/>
    <w:rsid w:val="007B7135"/>
    <w:rsid w:val="00D81D95"/>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EB46D2-43AF-4A24-9A88-BA6FD9C6F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7135"/>
    <w:pPr>
      <w:spacing w:after="0" w:line="240" w:lineRule="auto"/>
      <w:jc w:val="both"/>
    </w:pPr>
    <w:rPr>
      <w:rFonts w:ascii="Arial" w:hAnsi="Arial" w:cs="Arial"/>
      <w:color w:val="4D4E49"/>
      <w:lang w:eastAsia="en-GB"/>
    </w:rPr>
  </w:style>
  <w:style w:type="paragraph" w:styleId="Heading4">
    <w:name w:val="heading 4"/>
    <w:basedOn w:val="Normal"/>
    <w:link w:val="Heading4Char"/>
    <w:uiPriority w:val="9"/>
    <w:semiHidden/>
    <w:unhideWhenUsed/>
    <w:qFormat/>
    <w:rsid w:val="007B7135"/>
    <w:pPr>
      <w:spacing w:after="150"/>
      <w:jc w:val="left"/>
      <w:outlineLvl w:val="3"/>
    </w:pPr>
    <w:rPr>
      <w:b/>
      <w:bCs/>
      <w:color w:val="202020"/>
      <w:sz w:val="33"/>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7B7135"/>
    <w:rPr>
      <w:rFonts w:ascii="Arial" w:hAnsi="Arial" w:cs="Arial"/>
      <w:b/>
      <w:bCs/>
      <w:color w:val="202020"/>
      <w:sz w:val="33"/>
      <w:szCs w:val="33"/>
      <w:lang w:eastAsia="en-GB"/>
    </w:rPr>
  </w:style>
  <w:style w:type="character" w:styleId="Hyperlink">
    <w:name w:val="Hyperlink"/>
    <w:basedOn w:val="DefaultParagraphFont"/>
    <w:uiPriority w:val="99"/>
    <w:semiHidden/>
    <w:unhideWhenUsed/>
    <w:rsid w:val="007B7135"/>
    <w:rPr>
      <w:rFonts w:ascii="Arial" w:hAnsi="Arial" w:cs="Arial" w:hint="default"/>
      <w:color w:val="0000FF"/>
      <w:u w:val="single"/>
    </w:rPr>
  </w:style>
  <w:style w:type="character" w:styleId="Strong">
    <w:name w:val="Strong"/>
    <w:basedOn w:val="DefaultParagraphFont"/>
    <w:uiPriority w:val="22"/>
    <w:qFormat/>
    <w:rsid w:val="007B71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6229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esternpower.co.uk/CMSModules/Newsletters/CMSPages/Redirect.ashx?linkguid=6fcc8e1e-1850-4282-aeb2-bdf9991ce8b3&amp;email=niamh.arnett%40ukpowernetworks.co.uk&amp;hash=f3c0a27297c395eb8b3cd88618ecd3e2ecb76c14c4f88c5aca4a1f8b6c678a6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ukpowernetworks.co.uk/internet/en/power-cuts/priority-services-during-a-power-cu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jpg@01D35340.EFBC6530" TargetMode="External"/><Relationship Id="rId11" Type="http://schemas.openxmlformats.org/officeDocument/2006/relationships/image" Target="cid:image002.jpg@01D35340.EFBC6530" TargetMode="External"/><Relationship Id="rId5" Type="http://schemas.openxmlformats.org/officeDocument/2006/relationships/image" Target="media/image1.jpeg"/><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westernpower.co.uk/CMSModules/Newsletters/CMSPages/Redirect.ashx?linkguid=8603c634-e883-4d28-8c85-7912fbe79424&amp;email=niamh.arnett%40ukpowernetworks.co.uk&amp;hash=f3c0a27297c395eb8b3cd88618ecd3e2ecb76c14c4f88c5aca4a1f8b6c678a6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455</Words>
  <Characters>2595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Hambledon Parish_Council</dc:creator>
  <cp:keywords/>
  <dc:description/>
  <cp:lastModifiedBy>Hambledon Parish_Council</cp:lastModifiedBy>
  <cp:revision>1</cp:revision>
  <dcterms:created xsi:type="dcterms:W3CDTF">2017-11-02T14:38:00Z</dcterms:created>
  <dcterms:modified xsi:type="dcterms:W3CDTF">2017-11-02T14:39:00Z</dcterms:modified>
</cp:coreProperties>
</file>